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20B3" w14:textId="77777777" w:rsidR="008D5291" w:rsidRPr="00F02907" w:rsidRDefault="008D5291" w:rsidP="008D5291">
      <w:pPr>
        <w:spacing w:after="200"/>
        <w:rPr>
          <w:rFonts w:ascii="Times New Roman" w:hAnsi="Times New Roman" w:cs="Times New Roman"/>
          <w:b/>
          <w:bCs/>
          <w:caps/>
          <w:color w:val="77A22D"/>
          <w:sz w:val="24"/>
          <w:szCs w:val="24"/>
        </w:rPr>
      </w:pPr>
      <w:r w:rsidRPr="00F02907">
        <w:rPr>
          <w:rFonts w:ascii="Times New Roman" w:eastAsia="MS ??" w:hAnsi="Times New Roman" w:cs="Times New Roman"/>
          <w:i/>
          <w:iCs/>
          <w:sz w:val="24"/>
          <w:szCs w:val="24"/>
        </w:rPr>
        <w:t>Tax &amp; Business Alert</w:t>
      </w:r>
      <w:r w:rsidRPr="00F02907">
        <w:rPr>
          <w:rFonts w:ascii="Times New Roman" w:eastAsia="MS ??" w:hAnsi="Times New Roman" w:cs="Times New Roman"/>
          <w:sz w:val="24"/>
          <w:szCs w:val="24"/>
        </w:rPr>
        <w:t xml:space="preserve"> – November 2024</w:t>
      </w:r>
    </w:p>
    <w:p w14:paraId="594A58E4" w14:textId="77777777" w:rsidR="008D5291" w:rsidRDefault="008D5291" w:rsidP="008C619E">
      <w:pPr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</w:pPr>
    </w:p>
    <w:p w14:paraId="1A763C1E" w14:textId="77777777" w:rsidR="008D5291" w:rsidRDefault="008D5291" w:rsidP="008C619E">
      <w:pPr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</w:pPr>
    </w:p>
    <w:p w14:paraId="3353012D" w14:textId="6A38A747" w:rsidR="008C619E" w:rsidRPr="00364672" w:rsidRDefault="008C619E" w:rsidP="008C61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294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  <w:t>Abstract:</w:t>
      </w:r>
      <w:r w:rsidR="00E30F46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It’s </w:t>
      </w:r>
      <w:r w:rsidR="00037BA0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almost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>holiday season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so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taxes probably aren’t top of mind for</w:t>
      </w:r>
      <w:r w:rsidR="00435B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taxpayers.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</w:t>
      </w:r>
      <w:r w:rsidR="003711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along with the festivities,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it’s also </w:t>
      </w:r>
      <w:r w:rsidR="002971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good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time to consider tax strategies that may </w:t>
      </w:r>
      <w:r w:rsidR="00834F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reduce </w:t>
      </w:r>
      <w:r w:rsidR="00615289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year’s tax bill </w:t>
      </w:r>
      <w:r w:rsidR="00E3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possibly </w:t>
      </w:r>
      <w:r w:rsidR="00615289">
        <w:rPr>
          <w:rFonts w:ascii="Times New Roman" w:eastAsia="Times New Roman" w:hAnsi="Times New Roman" w:cs="Times New Roman"/>
          <w:color w:val="333333"/>
          <w:sz w:val="24"/>
          <w:szCs w:val="24"/>
        </w:rPr>
        <w:t>future years</w:t>
      </w:r>
      <w:r w:rsidR="00E30F46">
        <w:rPr>
          <w:rFonts w:ascii="Times New Roman" w:eastAsia="Times New Roman" w:hAnsi="Times New Roman" w:cs="Times New Roman"/>
          <w:color w:val="333333"/>
          <w:sz w:val="24"/>
          <w:szCs w:val="24"/>
        </w:rPr>
        <w:t>’ tax bills</w:t>
      </w:r>
      <w:r w:rsidR="006152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well.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6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 are three tax planning moves that might trim the fat off</w:t>
      </w:r>
      <w:r w:rsidR="00615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36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tax bill.</w:t>
      </w:r>
    </w:p>
    <w:p w14:paraId="77AA9CE5" w14:textId="1260DF29" w:rsidR="008C619E" w:rsidRDefault="008C619E">
      <w:pP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</w:pPr>
    </w:p>
    <w:p w14:paraId="4E508A93" w14:textId="77777777" w:rsidR="008C619E" w:rsidRPr="008D1887" w:rsidRDefault="008C619E">
      <w:pPr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</w:pPr>
    </w:p>
    <w:p w14:paraId="686F63B7" w14:textId="23AF3559" w:rsidR="00921DB2" w:rsidRPr="00430294" w:rsidRDefault="008C619E">
      <w:pPr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Year-end </w:t>
      </w:r>
      <w:r w:rsidR="00ED7911"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t</w:t>
      </w:r>
      <w:r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ax </w:t>
      </w:r>
      <w:r w:rsidR="00ED7911"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p</w:t>
      </w:r>
      <w:r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lanning </w:t>
      </w:r>
      <w:r w:rsidR="00ED7911"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m</w:t>
      </w:r>
      <w:r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oves for </w:t>
      </w:r>
      <w:r w:rsidR="00ED7911"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i</w:t>
      </w:r>
      <w:r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ndividuals</w:t>
      </w:r>
      <w:r w:rsidR="00B336B1" w:rsidRPr="00430294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</w:p>
    <w:p w14:paraId="1BE1D51E" w14:textId="77777777" w:rsidR="00921DB2" w:rsidRDefault="00921DB2">
      <w:pPr>
        <w:rPr>
          <w:rFonts w:ascii="Arial" w:eastAsia="Times New Roman" w:hAnsi="Arial" w:cs="Arial"/>
          <w:color w:val="333333"/>
        </w:rPr>
      </w:pPr>
    </w:p>
    <w:p w14:paraId="2832A843" w14:textId="143408DB" w:rsidR="007E53BF" w:rsidRPr="00364672" w:rsidRDefault="007E53BF" w:rsidP="007E53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It’s </w:t>
      </w:r>
      <w:r w:rsidR="00037BA0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almost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>holiday season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so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taxes probably aren’t top of mind for most taxpayers. But </w:t>
      </w:r>
      <w:r w:rsidR="006163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along with the festivities,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it’s also </w:t>
      </w:r>
      <w:r w:rsidR="002971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good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time to consider tax strategies that may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reduce this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year’s tax bill </w:t>
      </w:r>
      <w:r w:rsidR="00E3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>and possibly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future years</w:t>
      </w:r>
      <w:r w:rsidR="00E30F46">
        <w:rPr>
          <w:rFonts w:ascii="Times New Roman" w:eastAsia="Times New Roman" w:hAnsi="Times New Roman" w:cs="Times New Roman"/>
          <w:color w:val="333333"/>
          <w:sz w:val="24"/>
          <w:szCs w:val="24"/>
        </w:rPr>
        <w:t>’ tax bills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well.</w:t>
      </w:r>
      <w:r w:rsidRPr="0036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6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 are three tax planning moves that might trim the fat off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your</w:t>
      </w:r>
      <w:r w:rsidRPr="0036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tax bill.</w:t>
      </w:r>
    </w:p>
    <w:p w14:paraId="038EAEC0" w14:textId="77777777" w:rsidR="00921DB2" w:rsidRPr="00764A38" w:rsidRDefault="00921D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C11606" w14:textId="2D9FE50E" w:rsidR="009B79C6" w:rsidRPr="008D1887" w:rsidRDefault="00072AC9" w:rsidP="00764A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18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Donate </w:t>
      </w:r>
      <w:r w:rsidR="00C90A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Pr="008D18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tocks to </w:t>
      </w:r>
      <w:r w:rsidR="00C90A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Pr="008D18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harities</w:t>
      </w:r>
    </w:p>
    <w:p w14:paraId="219C1271" w14:textId="64E45B00" w:rsidR="006B7B0C" w:rsidRPr="00764A38" w:rsidRDefault="006B7B0C" w:rsidP="006B7B0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If you itemize deductions and want to donate to IRS-approved public charities, you can combine your generosity with an overall revamping of your taxable investment portfolio</w:t>
      </w:r>
      <w:r w:rsidR="00442E1D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E1D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are </w:t>
      </w:r>
      <w:r w:rsidR="0022721C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tax-smart principles</w:t>
      </w:r>
      <w:r w:rsidR="00442E1D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follow:</w:t>
      </w:r>
    </w:p>
    <w:p w14:paraId="7B7C476C" w14:textId="4A3DA8E5" w:rsidR="006B7B0C" w:rsidRDefault="000E54C6" w:rsidP="006B7B0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Sell u</w:t>
      </w:r>
      <w:r w:rsidR="006B7B0C" w:rsidRPr="00764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nderperforming stocks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30294">
        <w:rPr>
          <w:rFonts w:ascii="Times New Roman" w:eastAsia="Times New Roman" w:hAnsi="Times New Roman" w:cs="Times New Roman"/>
          <w:color w:val="000000"/>
          <w:sz w:val="24"/>
          <w:szCs w:val="24"/>
        </w:rPr>
        <w:t>Stocks</w:t>
      </w:r>
      <w:r w:rsidR="00BA3376" w:rsidRPr="000E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376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worth less than they cost</w:t>
      </w:r>
      <w:r w:rsidR="00492D1E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sold at a tax-saving capital loss. The</w:t>
      </w:r>
      <w:r w:rsidR="00BD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</w:t>
      </w:r>
      <w:r w:rsidR="00492D1E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les proceeds</w:t>
      </w:r>
      <w:r w:rsidR="00BD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then be donated </w:t>
      </w:r>
      <w:r w:rsidR="00492D1E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to charity</w:t>
      </w:r>
      <w:r w:rsidR="00BD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</w:t>
      </w:r>
      <w:r w:rsidR="003804D8">
        <w:rPr>
          <w:rFonts w:ascii="Times New Roman" w:eastAsia="Times New Roman" w:hAnsi="Times New Roman" w:cs="Times New Roman"/>
          <w:color w:val="000000"/>
          <w:sz w:val="24"/>
          <w:szCs w:val="24"/>
        </w:rPr>
        <w:t>doubles your</w:t>
      </w:r>
      <w:r w:rsidR="009E4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 benefit when you claim a tax-saving charitable write-off.</w:t>
      </w:r>
      <w:r w:rsidR="00E05961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FE4C54" w14:textId="11F3E416" w:rsidR="00C647DD" w:rsidRPr="00764A38" w:rsidRDefault="000E54C6" w:rsidP="00C35A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Donate a</w:t>
      </w:r>
      <w:r w:rsidR="00C35A8A" w:rsidRPr="00764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ppreciated stocks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35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Stocks </w:t>
      </w:r>
      <w:r w:rsidR="00C35A8A">
        <w:rPr>
          <w:rFonts w:ascii="Times New Roman" w:eastAsia="Times New Roman" w:hAnsi="Times New Roman" w:cs="Times New Roman"/>
          <w:color w:val="000000"/>
          <w:sz w:val="24"/>
          <w:szCs w:val="24"/>
        </w:rPr>
        <w:t>held for over a year can be donated to charity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35A8A"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C3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to claim a deduction for their market value while avoiding capital gains tax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is</w:t>
      </w:r>
      <w:r w:rsidR="00C3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double benefit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3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Stocks held for less than a year can also be donated, but the deduction is limited to cost basis. </w:t>
      </w:r>
    </w:p>
    <w:p w14:paraId="2530D1C7" w14:textId="21495E37" w:rsidR="00F64D94" w:rsidRPr="008D1887" w:rsidRDefault="00502201" w:rsidP="00764A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18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Prepay </w:t>
      </w:r>
      <w:r w:rsidR="00C90A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</w:t>
      </w:r>
      <w:r w:rsidR="00746AEE" w:rsidRPr="008D18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igher </w:t>
      </w:r>
      <w:r w:rsidR="00C90A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="00746AEE" w:rsidRPr="008D18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ducation </w:t>
      </w:r>
      <w:r w:rsidR="00C90A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</w:t>
      </w:r>
      <w:r w:rsidR="00746AEE" w:rsidRPr="008D18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ills</w:t>
      </w:r>
    </w:p>
    <w:p w14:paraId="4439555F" w14:textId="5481E334" w:rsidR="00F64D94" w:rsidRPr="00764A38" w:rsidRDefault="00F64D94" w:rsidP="00F64D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8F7E6F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paid for you, your spouse or a dependent, higher education expenses may qualify you for one of the</w:t>
      </w:r>
      <w:r w:rsidR="00B21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 credits</w:t>
      </w:r>
      <w:r w:rsidR="000F6B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21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8CF207" w14:textId="3766B190" w:rsidR="00F64D94" w:rsidRPr="00764A38" w:rsidRDefault="00F64D94" w:rsidP="00F64D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American Opportunity credi</w:t>
      </w:r>
      <w:r w:rsidR="00EA3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0F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6BB4" w:rsidRPr="00430294">
        <w:rPr>
          <w:rFonts w:ascii="Times New Roman" w:eastAsia="Times New Roman" w:hAnsi="Times New Roman" w:cs="Times New Roman"/>
          <w:color w:val="000000"/>
          <w:sz w:val="24"/>
          <w:szCs w:val="24"/>
        </w:rPr>
        <w:t>This credit</w:t>
      </w:r>
      <w:r w:rsidR="008F7E6F" w:rsidRPr="00764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7E6F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is equal to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of the first $2,000 of qualified postsecondary education expenses, plus 25% of the next $2,000</w:t>
      </w:r>
      <w:r w:rsidR="00655A3F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maximum annual credit is $2,500 per qualified student.</w:t>
      </w:r>
    </w:p>
    <w:p w14:paraId="482DF28D" w14:textId="1DA3DED8" w:rsidR="00F64D94" w:rsidRPr="00764A38" w:rsidRDefault="00F64D94" w:rsidP="00F64D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Lifetime Learning credit</w:t>
      </w:r>
      <w:r w:rsidR="000F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6BB4" w:rsidRPr="00430294">
        <w:rPr>
          <w:rFonts w:ascii="Times New Roman" w:eastAsia="Times New Roman" w:hAnsi="Times New Roman" w:cs="Times New Roman"/>
          <w:color w:val="000000"/>
          <w:sz w:val="24"/>
          <w:szCs w:val="24"/>
        </w:rPr>
        <w:t>This credit</w:t>
      </w:r>
      <w:r w:rsidR="008F7E6F" w:rsidRPr="00764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7E6F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is equal to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20% of up to $10,000 of qualified education expenses. The maximum credit is $2,000 per family.</w:t>
      </w:r>
    </w:p>
    <w:p w14:paraId="4DA5F4F6" w14:textId="3B852452" w:rsidR="0042386A" w:rsidRPr="00764A38" w:rsidRDefault="00F64D94" w:rsidP="0042386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For 202</w:t>
      </w:r>
      <w:r w:rsidR="008F7E6F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, both credits are</w:t>
      </w:r>
      <w:r w:rsidR="002E3177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fully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phased out if your modified adjusted gross income</w:t>
      </w:r>
      <w:r w:rsidR="00D27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(MAGI)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2A9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is between:</w:t>
      </w:r>
    </w:p>
    <w:p w14:paraId="72B35C7A" w14:textId="77777777" w:rsidR="0042386A" w:rsidRPr="00764A38" w:rsidRDefault="0042386A" w:rsidP="0042386A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$80,000 and $90,000 for unmarried people, or</w:t>
      </w:r>
    </w:p>
    <w:p w14:paraId="41924B24" w14:textId="77777777" w:rsidR="00F25840" w:rsidRPr="00764A38" w:rsidRDefault="0042386A" w:rsidP="00F25840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$160,000 and $180,000 for married couples filing jointly.</w:t>
      </w:r>
      <w:r w:rsidR="00F25840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889196" w14:textId="257E37B5" w:rsidR="00704AEF" w:rsidRPr="00764A38" w:rsidRDefault="00704AEF" w:rsidP="00D650FF">
      <w:p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 w:rsidR="00F64D94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6F9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F64D94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restrictions</w:t>
      </w:r>
      <w:r w:rsidR="00B72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also</w:t>
      </w:r>
      <w:r w:rsidR="00F64D94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</w:t>
      </w:r>
      <w:r w:rsidR="00B729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5840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4D94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If eligible</w:t>
      </w:r>
      <w:r w:rsidR="001E1148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4D94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for either credit, consider prepaying college tuition</w:t>
      </w:r>
      <w:r w:rsidR="001E1148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BE5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periods </w:t>
      </w:r>
      <w:r w:rsidR="00352965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BE5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75D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January through March 2025</w:t>
      </w:r>
      <w:r w:rsidR="00737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7141">
        <w:rPr>
          <w:rFonts w:ascii="Times New Roman" w:eastAsia="Times New Roman" w:hAnsi="Times New Roman" w:cs="Times New Roman"/>
          <w:color w:val="000000"/>
          <w:sz w:val="24"/>
          <w:szCs w:val="24"/>
        </w:rPr>
        <w:t>By reducing your MAGI fo</w:t>
      </w:r>
      <w:r w:rsidR="00712B34">
        <w:rPr>
          <w:rFonts w:ascii="Times New Roman" w:eastAsia="Times New Roman" w:hAnsi="Times New Roman" w:cs="Times New Roman"/>
          <w:color w:val="000000"/>
          <w:sz w:val="24"/>
          <w:szCs w:val="24"/>
        </w:rPr>
        <w:t>r 2024 you could also maximi</w:t>
      </w:r>
      <w:r w:rsidR="0063601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712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your </w:t>
      </w:r>
      <w:r w:rsidR="00A67DC0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education credit.  </w:t>
      </w:r>
    </w:p>
    <w:p w14:paraId="02A5FBE6" w14:textId="767325BE" w:rsidR="00A70C86" w:rsidRPr="00764A38" w:rsidRDefault="00713B2D" w:rsidP="008D188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8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Consider an IRA </w:t>
      </w:r>
      <w:r w:rsidR="008C67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Pr="008D18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onversion</w:t>
      </w:r>
    </w:p>
    <w:p w14:paraId="234CBEB0" w14:textId="3557E728" w:rsidR="00B46AF8" w:rsidRPr="00764A38" w:rsidRDefault="00250A35" w:rsidP="00C405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anticipate </w:t>
      </w:r>
      <w:r w:rsidR="00F31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in 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higher </w:t>
      </w:r>
      <w:r w:rsidR="00557A0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ax 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>bracket</w:t>
      </w:r>
      <w:r w:rsidR="00F32E35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retirement than you </w:t>
      </w:r>
      <w:r w:rsidR="00F31931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now, consider a Roth conversion. </w:t>
      </w:r>
      <w:r w:rsidR="006113D5">
        <w:rPr>
          <w:rFonts w:ascii="Times New Roman" w:eastAsia="Times New Roman" w:hAnsi="Times New Roman" w:cs="Times New Roman"/>
          <w:color w:val="000000"/>
          <w:sz w:val="24"/>
          <w:szCs w:val="24"/>
        </w:rPr>
        <w:t>The downside is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 w:rsidR="00611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will 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>generate</w:t>
      </w:r>
      <w:r w:rsidR="00F32E35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93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current tax </w:t>
      </w:r>
      <w:proofErr w:type="gramStart"/>
      <w:r w:rsidR="00215F93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cost</w:t>
      </w:r>
      <w:r w:rsidR="004B0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136F6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gramEnd"/>
      <w:r w:rsidR="00F1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conversion is considered a</w:t>
      </w:r>
      <w:r w:rsidR="00215F93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taxable liquidation</w:t>
      </w:r>
      <w:r w:rsidR="00F136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5F93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followed by a nondeductible contribution to a Roth account</w:t>
      </w:r>
      <w:r w:rsidR="004B026B">
        <w:rPr>
          <w:rFonts w:ascii="Times New Roman" w:eastAsia="Times New Roman" w:hAnsi="Times New Roman" w:cs="Times New Roman"/>
          <w:color w:val="000000"/>
          <w:sz w:val="24"/>
          <w:szCs w:val="24"/>
        </w:rPr>
        <w:t>. However,</w:t>
      </w:r>
      <w:r w:rsidR="00215F93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r w:rsidR="00C405B9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serve as a hedge against future tax increases. Delaying the conversion might lead to higher tax later. </w:t>
      </w:r>
    </w:p>
    <w:p w14:paraId="6E8CDCA9" w14:textId="084BBD74" w:rsidR="00B46AF8" w:rsidRPr="00764A38" w:rsidRDefault="00B46AF8" w:rsidP="00C405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Post-Roth conversion, all </w:t>
      </w:r>
      <w:proofErr w:type="gramStart"/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income</w:t>
      </w:r>
      <w:proofErr w:type="gramEnd"/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gains in the account, along with qualified withdrawals, are federal-income-tax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free. Qualified withdrawals occur after</w:t>
      </w:r>
      <w:r w:rsidR="001754C1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9E30EF5" w14:textId="25F84A72" w:rsidR="00B46AF8" w:rsidRPr="00764A38" w:rsidRDefault="001754C1" w:rsidP="001754C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The Roth account has been open for over five years, and</w:t>
      </w:r>
    </w:p>
    <w:p w14:paraId="63389148" w14:textId="5CAFCF66" w:rsidR="001754C1" w:rsidRPr="00764A38" w:rsidRDefault="001754C1" w:rsidP="001754C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You’ve reached age </w:t>
      </w:r>
      <w:r w:rsidR="00EB0028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59½, become disabled, or passed away. </w:t>
      </w:r>
    </w:p>
    <w:p w14:paraId="5D120758" w14:textId="3FB42BB5" w:rsidR="00764BEB" w:rsidRPr="00764A38" w:rsidRDefault="00EB0028" w:rsidP="00764BE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strategy </w:t>
      </w:r>
      <w:r w:rsidR="002414B9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>makes it possible to avoid potentially higher future tax rates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B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the tax has already been paid.</w:t>
      </w:r>
      <w:r w:rsidR="002414B9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B44402" w14:textId="36999860" w:rsidR="004A4520" w:rsidRPr="00764A38" w:rsidRDefault="008C67CF" w:rsidP="004A45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more ideas</w:t>
      </w:r>
    </w:p>
    <w:p w14:paraId="07A1FE9C" w14:textId="261B2847" w:rsidR="004A4520" w:rsidRPr="00764A38" w:rsidRDefault="00991022" w:rsidP="004A45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tax law may be uncertain for the next couple 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years 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>because it’s an election year —</w:t>
      </w:r>
      <w:r w:rsidR="00C1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5D4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</w:t>
      </w:r>
      <w:r w:rsidR="00470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5D45C4">
        <w:rPr>
          <w:rFonts w:ascii="Times New Roman" w:eastAsia="Times New Roman" w:hAnsi="Times New Roman" w:cs="Times New Roman"/>
          <w:color w:val="000000"/>
          <w:sz w:val="24"/>
          <w:szCs w:val="24"/>
        </w:rPr>
        <w:t>the Tax Cuts and Jobs Act provisions</w:t>
      </w:r>
      <w:r w:rsidR="00F32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expire</w:t>
      </w:r>
      <w:r w:rsidR="00C73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4A22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2025</w:t>
      </w:r>
      <w:r w:rsidR="00C737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5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6B1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0A1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Consult your </w:t>
      </w:r>
      <w:r w:rsidR="004A4520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tax advisor to discuss these and other </w:t>
      </w:r>
      <w:r w:rsidR="00AC6D2C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tax </w:t>
      </w:r>
      <w:r w:rsidR="004A4520" w:rsidRPr="00764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moves that may </w:t>
      </w:r>
      <w:r w:rsidR="002A7AE0">
        <w:rPr>
          <w:rFonts w:ascii="Times New Roman" w:eastAsia="Times New Roman" w:hAnsi="Times New Roman" w:cs="Times New Roman"/>
          <w:color w:val="000000"/>
          <w:sz w:val="24"/>
          <w:szCs w:val="24"/>
        </w:rPr>
        <w:t>work for you.</w:t>
      </w:r>
    </w:p>
    <w:p w14:paraId="5AE5655A" w14:textId="77777777" w:rsidR="00764BEB" w:rsidRDefault="00764BEB" w:rsidP="00764BE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51FA8EA" w14:textId="77777777" w:rsidR="00764BEB" w:rsidRDefault="00764BEB" w:rsidP="00764BE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E6F374" w14:textId="77777777" w:rsidR="00764BEB" w:rsidRDefault="00764BEB" w:rsidP="00764BE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1ED5D4A" w14:textId="77777777" w:rsidR="00764BEB" w:rsidRDefault="00764BEB" w:rsidP="00764BE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071E1A" w14:textId="110AA73C" w:rsidR="00D46A49" w:rsidRPr="00D46A49" w:rsidRDefault="00764A38" w:rsidP="000C3B1C">
      <w:pPr>
        <w:tabs>
          <w:tab w:val="left" w:pos="1382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46A49" w:rsidRPr="00D4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F99"/>
    <w:multiLevelType w:val="multilevel"/>
    <w:tmpl w:val="090C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E3A73"/>
    <w:multiLevelType w:val="multilevel"/>
    <w:tmpl w:val="3C1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B1F33"/>
    <w:multiLevelType w:val="multilevel"/>
    <w:tmpl w:val="5FD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27439"/>
    <w:multiLevelType w:val="hybridMultilevel"/>
    <w:tmpl w:val="154C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A779E"/>
    <w:multiLevelType w:val="multilevel"/>
    <w:tmpl w:val="872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17B2B"/>
    <w:multiLevelType w:val="hybridMultilevel"/>
    <w:tmpl w:val="76EEF58A"/>
    <w:lvl w:ilvl="0" w:tplc="651AE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73869"/>
    <w:multiLevelType w:val="multilevel"/>
    <w:tmpl w:val="CA0C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04F82"/>
    <w:multiLevelType w:val="hybridMultilevel"/>
    <w:tmpl w:val="FE6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864017">
    <w:abstractNumId w:val="4"/>
  </w:num>
  <w:num w:numId="2" w16cid:durableId="1169171883">
    <w:abstractNumId w:val="7"/>
  </w:num>
  <w:num w:numId="3" w16cid:durableId="416941987">
    <w:abstractNumId w:val="6"/>
  </w:num>
  <w:num w:numId="4" w16cid:durableId="1718042071">
    <w:abstractNumId w:val="1"/>
  </w:num>
  <w:num w:numId="5" w16cid:durableId="1688942095">
    <w:abstractNumId w:val="0"/>
  </w:num>
  <w:num w:numId="6" w16cid:durableId="1728918948">
    <w:abstractNumId w:val="2"/>
  </w:num>
  <w:num w:numId="7" w16cid:durableId="350185386">
    <w:abstractNumId w:val="5"/>
  </w:num>
  <w:num w:numId="8" w16cid:durableId="119796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675"/>
    <w:rsid w:val="00031871"/>
    <w:rsid w:val="00037BA0"/>
    <w:rsid w:val="00047FF0"/>
    <w:rsid w:val="00053134"/>
    <w:rsid w:val="00072AC9"/>
    <w:rsid w:val="00074A22"/>
    <w:rsid w:val="00084EBC"/>
    <w:rsid w:val="000A430A"/>
    <w:rsid w:val="000A5ACF"/>
    <w:rsid w:val="000C3B1C"/>
    <w:rsid w:val="000C71E4"/>
    <w:rsid w:val="000D5698"/>
    <w:rsid w:val="000E17E6"/>
    <w:rsid w:val="000E54C6"/>
    <w:rsid w:val="000E61A0"/>
    <w:rsid w:val="000F5EBB"/>
    <w:rsid w:val="000F6BB4"/>
    <w:rsid w:val="000F7580"/>
    <w:rsid w:val="00124DD8"/>
    <w:rsid w:val="00125BEB"/>
    <w:rsid w:val="00144BE8"/>
    <w:rsid w:val="00153412"/>
    <w:rsid w:val="001546F9"/>
    <w:rsid w:val="00166287"/>
    <w:rsid w:val="001754C1"/>
    <w:rsid w:val="00183762"/>
    <w:rsid w:val="001A216A"/>
    <w:rsid w:val="001C5F84"/>
    <w:rsid w:val="001D12C9"/>
    <w:rsid w:val="001E1148"/>
    <w:rsid w:val="001F1C1C"/>
    <w:rsid w:val="00214272"/>
    <w:rsid w:val="00215F93"/>
    <w:rsid w:val="00224BC2"/>
    <w:rsid w:val="0022721C"/>
    <w:rsid w:val="002414B9"/>
    <w:rsid w:val="0024640D"/>
    <w:rsid w:val="00250A35"/>
    <w:rsid w:val="0027659F"/>
    <w:rsid w:val="00284657"/>
    <w:rsid w:val="0028683B"/>
    <w:rsid w:val="002902D9"/>
    <w:rsid w:val="0029064A"/>
    <w:rsid w:val="00295F6B"/>
    <w:rsid w:val="00296E96"/>
    <w:rsid w:val="00297192"/>
    <w:rsid w:val="002A7AE0"/>
    <w:rsid w:val="002B6706"/>
    <w:rsid w:val="002D1D03"/>
    <w:rsid w:val="002E3177"/>
    <w:rsid w:val="002E4C15"/>
    <w:rsid w:val="00303BF4"/>
    <w:rsid w:val="003047BF"/>
    <w:rsid w:val="00311D25"/>
    <w:rsid w:val="00323802"/>
    <w:rsid w:val="00352965"/>
    <w:rsid w:val="0037118D"/>
    <w:rsid w:val="003804D8"/>
    <w:rsid w:val="003A05DC"/>
    <w:rsid w:val="003A3B5A"/>
    <w:rsid w:val="003B61A0"/>
    <w:rsid w:val="00422F7E"/>
    <w:rsid w:val="0042386A"/>
    <w:rsid w:val="00430294"/>
    <w:rsid w:val="00435B8E"/>
    <w:rsid w:val="00442E1D"/>
    <w:rsid w:val="00446070"/>
    <w:rsid w:val="004602E8"/>
    <w:rsid w:val="004705A1"/>
    <w:rsid w:val="00471B4C"/>
    <w:rsid w:val="00492D1E"/>
    <w:rsid w:val="004A38AB"/>
    <w:rsid w:val="004A4520"/>
    <w:rsid w:val="004B0269"/>
    <w:rsid w:val="004B026B"/>
    <w:rsid w:val="004C0AD9"/>
    <w:rsid w:val="004C40E2"/>
    <w:rsid w:val="004F5243"/>
    <w:rsid w:val="004F76C1"/>
    <w:rsid w:val="00502201"/>
    <w:rsid w:val="00507144"/>
    <w:rsid w:val="00515DB0"/>
    <w:rsid w:val="00541BC3"/>
    <w:rsid w:val="00557A0E"/>
    <w:rsid w:val="005704BB"/>
    <w:rsid w:val="005922A9"/>
    <w:rsid w:val="00595675"/>
    <w:rsid w:val="005A4D1F"/>
    <w:rsid w:val="005A6A7E"/>
    <w:rsid w:val="005C1DD3"/>
    <w:rsid w:val="005D45C4"/>
    <w:rsid w:val="005D574C"/>
    <w:rsid w:val="005F5E47"/>
    <w:rsid w:val="0060579D"/>
    <w:rsid w:val="006113D5"/>
    <w:rsid w:val="00615289"/>
    <w:rsid w:val="0061637A"/>
    <w:rsid w:val="00631DC2"/>
    <w:rsid w:val="00636012"/>
    <w:rsid w:val="00636487"/>
    <w:rsid w:val="00655A3F"/>
    <w:rsid w:val="00670D90"/>
    <w:rsid w:val="00692305"/>
    <w:rsid w:val="006A5F0D"/>
    <w:rsid w:val="006B7B0C"/>
    <w:rsid w:val="006B7C34"/>
    <w:rsid w:val="006E1709"/>
    <w:rsid w:val="006E3398"/>
    <w:rsid w:val="00704AEF"/>
    <w:rsid w:val="00712B34"/>
    <w:rsid w:val="00713B2D"/>
    <w:rsid w:val="00733C28"/>
    <w:rsid w:val="00735F4E"/>
    <w:rsid w:val="00737038"/>
    <w:rsid w:val="00746AEE"/>
    <w:rsid w:val="00747161"/>
    <w:rsid w:val="0075398E"/>
    <w:rsid w:val="0075475D"/>
    <w:rsid w:val="00754907"/>
    <w:rsid w:val="00760FDF"/>
    <w:rsid w:val="00764A38"/>
    <w:rsid w:val="00764BEB"/>
    <w:rsid w:val="0077109A"/>
    <w:rsid w:val="007D211D"/>
    <w:rsid w:val="007E53BF"/>
    <w:rsid w:val="008029B7"/>
    <w:rsid w:val="00804C0A"/>
    <w:rsid w:val="0081205B"/>
    <w:rsid w:val="00813956"/>
    <w:rsid w:val="00816D69"/>
    <w:rsid w:val="00833619"/>
    <w:rsid w:val="00834FA5"/>
    <w:rsid w:val="00841085"/>
    <w:rsid w:val="00891318"/>
    <w:rsid w:val="00895211"/>
    <w:rsid w:val="008A13F1"/>
    <w:rsid w:val="008C619E"/>
    <w:rsid w:val="008C67CF"/>
    <w:rsid w:val="008D1887"/>
    <w:rsid w:val="008D5291"/>
    <w:rsid w:val="008E523A"/>
    <w:rsid w:val="008E7A6B"/>
    <w:rsid w:val="008F7E6F"/>
    <w:rsid w:val="00906D08"/>
    <w:rsid w:val="0091022E"/>
    <w:rsid w:val="009132A4"/>
    <w:rsid w:val="00921DB2"/>
    <w:rsid w:val="00954FD3"/>
    <w:rsid w:val="009671D4"/>
    <w:rsid w:val="00985590"/>
    <w:rsid w:val="0098649C"/>
    <w:rsid w:val="00987B09"/>
    <w:rsid w:val="00991022"/>
    <w:rsid w:val="00997C66"/>
    <w:rsid w:val="009B2FEB"/>
    <w:rsid w:val="009B79C6"/>
    <w:rsid w:val="009C541F"/>
    <w:rsid w:val="009C76D4"/>
    <w:rsid w:val="009E2888"/>
    <w:rsid w:val="009E4AFB"/>
    <w:rsid w:val="009F4F22"/>
    <w:rsid w:val="009F7A0E"/>
    <w:rsid w:val="00A04D19"/>
    <w:rsid w:val="00A1617E"/>
    <w:rsid w:val="00A25AAB"/>
    <w:rsid w:val="00A413E6"/>
    <w:rsid w:val="00A67DC0"/>
    <w:rsid w:val="00A70C86"/>
    <w:rsid w:val="00A76D7D"/>
    <w:rsid w:val="00A95534"/>
    <w:rsid w:val="00AA0449"/>
    <w:rsid w:val="00AC6D2C"/>
    <w:rsid w:val="00AD2CE4"/>
    <w:rsid w:val="00AE77E7"/>
    <w:rsid w:val="00AF4C85"/>
    <w:rsid w:val="00AF6380"/>
    <w:rsid w:val="00B07BB2"/>
    <w:rsid w:val="00B21619"/>
    <w:rsid w:val="00B336B1"/>
    <w:rsid w:val="00B4078B"/>
    <w:rsid w:val="00B4172E"/>
    <w:rsid w:val="00B46AF8"/>
    <w:rsid w:val="00B5012C"/>
    <w:rsid w:val="00B63E49"/>
    <w:rsid w:val="00B72919"/>
    <w:rsid w:val="00B970D4"/>
    <w:rsid w:val="00BA3376"/>
    <w:rsid w:val="00BD6ECE"/>
    <w:rsid w:val="00BE5D3E"/>
    <w:rsid w:val="00C0430F"/>
    <w:rsid w:val="00C116E0"/>
    <w:rsid w:val="00C224BD"/>
    <w:rsid w:val="00C26AA5"/>
    <w:rsid w:val="00C304E7"/>
    <w:rsid w:val="00C33E90"/>
    <w:rsid w:val="00C35A8A"/>
    <w:rsid w:val="00C405B9"/>
    <w:rsid w:val="00C647DD"/>
    <w:rsid w:val="00C6794F"/>
    <w:rsid w:val="00C73766"/>
    <w:rsid w:val="00C740A1"/>
    <w:rsid w:val="00C75DD0"/>
    <w:rsid w:val="00C82200"/>
    <w:rsid w:val="00C90A05"/>
    <w:rsid w:val="00C947E2"/>
    <w:rsid w:val="00CA258E"/>
    <w:rsid w:val="00CA38BF"/>
    <w:rsid w:val="00CB420A"/>
    <w:rsid w:val="00CC4D38"/>
    <w:rsid w:val="00CC5FCC"/>
    <w:rsid w:val="00CF7754"/>
    <w:rsid w:val="00D02E04"/>
    <w:rsid w:val="00D11482"/>
    <w:rsid w:val="00D27141"/>
    <w:rsid w:val="00D3457C"/>
    <w:rsid w:val="00D43B19"/>
    <w:rsid w:val="00D46A49"/>
    <w:rsid w:val="00D53157"/>
    <w:rsid w:val="00D57413"/>
    <w:rsid w:val="00D5794D"/>
    <w:rsid w:val="00D650FF"/>
    <w:rsid w:val="00D758F8"/>
    <w:rsid w:val="00D80808"/>
    <w:rsid w:val="00DC02DB"/>
    <w:rsid w:val="00DD7664"/>
    <w:rsid w:val="00DE37E8"/>
    <w:rsid w:val="00E03A0D"/>
    <w:rsid w:val="00E05961"/>
    <w:rsid w:val="00E17800"/>
    <w:rsid w:val="00E30F46"/>
    <w:rsid w:val="00E41695"/>
    <w:rsid w:val="00E47450"/>
    <w:rsid w:val="00E659A1"/>
    <w:rsid w:val="00E77DD7"/>
    <w:rsid w:val="00E873DB"/>
    <w:rsid w:val="00E973D9"/>
    <w:rsid w:val="00E97492"/>
    <w:rsid w:val="00EA351F"/>
    <w:rsid w:val="00EB0028"/>
    <w:rsid w:val="00ED4C84"/>
    <w:rsid w:val="00ED7911"/>
    <w:rsid w:val="00F02907"/>
    <w:rsid w:val="00F136F6"/>
    <w:rsid w:val="00F16051"/>
    <w:rsid w:val="00F17E12"/>
    <w:rsid w:val="00F21F5A"/>
    <w:rsid w:val="00F25840"/>
    <w:rsid w:val="00F31931"/>
    <w:rsid w:val="00F32E35"/>
    <w:rsid w:val="00F342B4"/>
    <w:rsid w:val="00F42B02"/>
    <w:rsid w:val="00F561F6"/>
    <w:rsid w:val="00F64D94"/>
    <w:rsid w:val="00F759F4"/>
    <w:rsid w:val="00F93136"/>
    <w:rsid w:val="00FA2E21"/>
    <w:rsid w:val="00FD36A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4D4E"/>
  <w15:docId w15:val="{9CE4307F-0BC2-4D6B-970C-B741F50C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7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956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95675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95675"/>
    <w:rPr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5956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5675"/>
    <w:rPr>
      <w:b/>
      <w:bCs/>
    </w:rPr>
  </w:style>
  <w:style w:type="character" w:styleId="Emphasis">
    <w:name w:val="Emphasis"/>
    <w:basedOn w:val="DefaultParagraphFont"/>
    <w:uiPriority w:val="20"/>
    <w:qFormat/>
    <w:rsid w:val="0059567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F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4C85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F4C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1B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1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31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1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A221EDB9-AF7D-4105-9694-A8ECF04BB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91E47-48B4-48B5-8149-C6EDBEC5A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DDD21-C80E-41B3-8193-A0E4BC50D91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d42b41b2-081e-43e3-9bc5-78d8f04b87bf"/>
    <ds:schemaRef ds:uri="bfcb7a82-764f-4ec6-a61f-4122cf2412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Katz, Ellen M. (TR Product)</dc:creator>
  <cp:lastModifiedBy>Teresa Ambord</cp:lastModifiedBy>
  <cp:revision>7</cp:revision>
  <dcterms:created xsi:type="dcterms:W3CDTF">2024-09-19T15:45:00Z</dcterms:created>
  <dcterms:modified xsi:type="dcterms:W3CDTF">2024-09-24T19:44:00Z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2400</vt:r8>
  </property>
  <property fmtid="{D5CDD505-2E9C-101B-9397-08002B2CF9AE}" pid="4" name="MediaServiceImageTags">
    <vt:lpwstr/>
  </property>
</Properties>
</file>